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ADATKEZELÉSI TÁJÉKOZTATÓ</w:t>
      </w:r>
    </w:p>
    <w:p>
      <w:pPr>
        <w:jc w:val="center"/>
      </w:pPr>
      <w:r>
        <w:rPr>
          <w:i/>
        </w:rPr>
        <w:t>NEXT pénzügyi checkup, kalkulátorok és kapcsolatfelvételi leadrendszer</w:t>
      </w:r>
    </w:p>
    <w:p>
      <w:pPr>
        <w:jc w:val="center"/>
      </w:pPr>
      <w:r>
        <w:t>Verzió: ANFIELD-NEXT-2026-01 | Hatály: 2026. augusztus 27.</w:t>
      </w:r>
    </w:p>
    <w:p>
      <w:pPr>
        <w:pStyle w:val="Heading2"/>
        <w:jc w:val="center"/>
      </w:pPr>
      <w:r>
        <w:t>JOGI FELÜLVIZSGÁLATRA ELŐKÉSZÍTETT TERVEZET</w:t>
      </w:r>
    </w:p>
    <w:p>
      <w:pPr>
        <w:pStyle w:val="Heading1"/>
      </w:pPr>
      <w:r>
        <w:t>1. Az adatkezelő</w:t>
      </w:r>
    </w:p>
    <w:p>
      <w:r>
        <w:t>Adatkezelő: Anfield Consulting Kft.. A NEXT felületen megadott személyes adatok kezelésének céljait és lényeges eszközeit a leadgenerálási és első kapcsolatfelvételi szakaszban az Adatkezelő határozza meg.</w:t>
      </w:r>
    </w:p>
    <w:p>
      <w:r>
        <w:rPr>
          <w:b/>
        </w:rPr>
        <w:t xml:space="preserve">Székhely: </w:t>
      </w:r>
      <w:r>
        <w:t>3531 Miskolc, Salétrom utca 31.</w:t>
      </w:r>
    </w:p>
    <w:p>
      <w:r>
        <w:rPr>
          <w:b/>
        </w:rPr>
        <w:t xml:space="preserve">Cégjegyzékszám: </w:t>
      </w:r>
      <w:r>
        <w:t>05-09-035652</w:t>
      </w:r>
    </w:p>
    <w:p>
      <w:r>
        <w:rPr>
          <w:b/>
        </w:rPr>
        <w:t xml:space="preserve">Adószám: </w:t>
      </w:r>
      <w:r>
        <w:t>32009259-1-05</w:t>
      </w:r>
    </w:p>
    <w:p>
      <w:r>
        <w:rPr>
          <w:b/>
        </w:rPr>
        <w:t xml:space="preserve">Levelezési cím: </w:t>
      </w:r>
      <w:r>
        <w:t>3531 Miskolc, Salétrom utca 31.</w:t>
      </w:r>
    </w:p>
    <w:p>
      <w:r>
        <w:rPr>
          <w:b/>
        </w:rPr>
        <w:t xml:space="preserve">Adatvédelmi kapcsolattartási e-mail: </w:t>
      </w:r>
      <w:r>
        <w:t>anfieldconsultingkft@gmail.com</w:t>
      </w:r>
    </w:p>
    <w:p>
      <w:r>
        <w:rPr>
          <w:b/>
        </w:rPr>
        <w:t xml:space="preserve">Honlap: </w:t>
      </w:r>
      <w:r>
        <w:rPr>
          <w:shd w:fill="FFF2CC"/>
        </w:rPr>
        <w:t>[KITÖLTENDŐ]</w:t>
      </w:r>
    </w:p>
    <w:p>
      <w:r>
        <w:t>Adatvédelmi tisztviselő: csak akkor tüntetendő fel, ha a GDPR 37. cikke alapján kijelölésre kerül vagy az Adatkezelő önként kijelöli.</w:t>
      </w:r>
    </w:p>
    <w:p>
      <w:pPr>
        <w:pStyle w:val="Heading1"/>
      </w:pPr>
      <w:r>
        <w:t>2. A szolgáltatás és az adatkezelés alapelve</w:t>
      </w:r>
    </w:p>
    <w:p>
      <w:r>
        <w:t>A NEXT felület pénzügyi helyzetfelmérő, edukációs és kapcsolatfelvételi rendszer. A kalkulációk nem minősülnek biztosítási ajánlatnak, személyre szabott befektetési tanácsnak vagy szerződéskötési kötelezettségvállalásnak. A rendszer célja, hogy az érintett saját válaszai alapján tájékoztató jellegű eredményt kapjon, majd - kifejezett kérésére - az Anfield Consulting Kft. által kijelölt közreműködő felvegye vele a kapcsolatot.</w:t>
      </w:r>
    </w:p>
    <w:p>
      <w:pPr>
        <w:pStyle w:val="Heading1"/>
      </w:pPr>
      <w:r>
        <w:t>3. Adatkezelési célok, adatok, jogalap és megőrzés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</w:tcPr>
          <w:p>
            <w:r>
              <w:t>Cél</w:t>
            </w:r>
          </w:p>
        </w:tc>
        <w:tc>
          <w:tcPr>
            <w:tcW w:type="dxa" w:w="1949"/>
          </w:tcPr>
          <w:p>
            <w:r>
              <w:t>Adatkör</w:t>
            </w:r>
          </w:p>
        </w:tc>
        <w:tc>
          <w:tcPr>
            <w:tcW w:type="dxa" w:w="1949"/>
          </w:tcPr>
          <w:p>
            <w:r>
              <w:t>Jogalap</w:t>
            </w:r>
          </w:p>
        </w:tc>
        <w:tc>
          <w:tcPr>
            <w:tcW w:type="dxa" w:w="1949"/>
          </w:tcPr>
          <w:p>
            <w:r>
              <w:t>Megőrzés</w:t>
            </w:r>
          </w:p>
        </w:tc>
        <w:tc>
          <w:tcPr>
            <w:tcW w:type="dxa" w:w="1949"/>
          </w:tcPr>
          <w:p>
            <w:r>
              <w:t>Címzettek</w:t>
            </w:r>
          </w:p>
        </w:tc>
      </w:tr>
      <w:tr>
        <w:tc>
          <w:tcPr>
            <w:tcW w:type="dxa" w:w="1949"/>
          </w:tcPr>
          <w:p>
            <w:r>
              <w:t>Checkup/kalkuláció működtetése és eredmény előállítása</w:t>
            </w:r>
          </w:p>
        </w:tc>
        <w:tc>
          <w:tcPr>
            <w:tcW w:type="dxa" w:w="1949"/>
          </w:tcPr>
          <w:p>
            <w:r>
              <w:t>életkor/korcsoport, jövedelmi és háztartási adatok, hitelek, megtakarítási célok, biztosítási helyzet, kockázati preferencia és az adott modul válaszai</w:t>
            </w:r>
          </w:p>
        </w:tc>
        <w:tc>
          <w:tcPr>
            <w:tcW w:type="dxa" w:w="1949"/>
          </w:tcPr>
          <w:p>
            <w:r>
              <w:t>GDPR 6. cikk (1) a) - az érintett hozzájárulása; az élesítés előtt jogalap-vizsgálattal véglegesítendő</w:t>
            </w:r>
          </w:p>
        </w:tc>
        <w:tc>
          <w:tcPr>
            <w:tcW w:type="dxa" w:w="1949"/>
          </w:tcPr>
          <w:p>
            <w:r>
              <w:t>be nem küldött munkamenet: rövid technikai idő; beküldött lead: a kapcsolatfelvételi célhoz szükséges ideig, majd törlés/anonimizálás a rögzített megőrzési szabály szerint</w:t>
            </w:r>
          </w:p>
        </w:tc>
        <w:tc>
          <w:tcPr>
            <w:tcW w:type="dxa" w:w="1949"/>
          </w:tcPr>
          <w:p>
            <w:r>
              <w:t>Anfield jogosult munkatársai és kijelölt, szerződött közreműködői a szükséges mértékben</w:t>
            </w:r>
          </w:p>
        </w:tc>
      </w:tr>
      <w:tr>
        <w:tc>
          <w:tcPr>
            <w:tcW w:type="dxa" w:w="1949"/>
          </w:tcPr>
          <w:p>
            <w:r>
              <w:t>Kért kapcsolatfelvétel és konzultáció megszervezése</w:t>
            </w:r>
          </w:p>
        </w:tc>
        <w:tc>
          <w:tcPr>
            <w:tcW w:type="dxa" w:w="1949"/>
          </w:tcPr>
          <w:p>
            <w:r>
              <w:t>név, telefon, e-mail, preferált csatorna/idősáv, érdeklődési téma, checkup eredménye</w:t>
            </w:r>
          </w:p>
        </w:tc>
        <w:tc>
          <w:tcPr>
            <w:tcW w:type="dxa" w:w="1949"/>
          </w:tcPr>
          <w:p>
            <w:r>
              <w:t>GDPR 6. cikk (1) a) - kifejezett, tájékozott hozzájárulás</w:t>
            </w:r>
          </w:p>
        </w:tc>
        <w:tc>
          <w:tcPr>
            <w:tcW w:type="dxa" w:w="1949"/>
          </w:tcPr>
          <w:p>
            <w:r>
              <w:t>hozzájárulás visszavonásáig vagy a cél megszűnéséig; belső törlési határidőt kötelező rögzíteni</w:t>
            </w:r>
          </w:p>
        </w:tc>
        <w:tc>
          <w:tcPr>
            <w:tcW w:type="dxa" w:w="1949"/>
          </w:tcPr>
          <w:p>
            <w:r>
              <w:t>Anfield és a leadhez kijelölt közreműködő</w:t>
            </w:r>
          </w:p>
        </w:tc>
      </w:tr>
      <w:tr>
        <w:tc>
          <w:tcPr>
            <w:tcW w:type="dxa" w:w="1949"/>
          </w:tcPr>
          <w:p>
            <w:r>
              <w:t>Hozzájárulás és elszámoltathatóság bizonyítása</w:t>
            </w:r>
          </w:p>
        </w:tc>
        <w:tc>
          <w:tcPr>
            <w:tcW w:type="dxa" w:w="1949"/>
          </w:tcPr>
          <w:p>
            <w:r>
              <w:t>consent státusz, időpont, dokumentumverzió/hash, forrás/landing, technikai napló</w:t>
            </w:r>
          </w:p>
        </w:tc>
        <w:tc>
          <w:tcPr>
            <w:tcW w:type="dxa" w:w="1949"/>
          </w:tcPr>
          <w:p>
            <w:r>
              <w:t>GDPR 6. cikk (1) f) - jogi megfelelés és igényérvényesítés jogos érdeke; érdekmérlegelési teszt készítendő</w:t>
            </w:r>
          </w:p>
        </w:tc>
        <w:tc>
          <w:tcPr>
            <w:tcW w:type="dxa" w:w="1949"/>
          </w:tcPr>
          <w:p>
            <w:r>
              <w:t>az igényérvényesítési és hatósági kockázathoz igazodó dokumentált időtartam</w:t>
            </w:r>
          </w:p>
        </w:tc>
        <w:tc>
          <w:tcPr>
            <w:tcW w:type="dxa" w:w="1949"/>
          </w:tcPr>
          <w:p>
            <w:r>
              <w:t>Anfield, szükség esetén jogi/compliance közreműködő</w:t>
            </w:r>
          </w:p>
        </w:tc>
      </w:tr>
      <w:tr>
        <w:tc>
          <w:tcPr>
            <w:tcW w:type="dxa" w:w="1949"/>
          </w:tcPr>
          <w:p>
            <w:r>
              <w:t>Opcionális direkt marketing</w:t>
            </w:r>
          </w:p>
        </w:tc>
        <w:tc>
          <w:tcPr>
            <w:tcW w:type="dxa" w:w="1949"/>
          </w:tcPr>
          <w:p>
            <w:r>
              <w:t>név, e-mail, telefon, marketingpreferenciák</w:t>
            </w:r>
          </w:p>
        </w:tc>
        <w:tc>
          <w:tcPr>
            <w:tcW w:type="dxa" w:w="1949"/>
          </w:tcPr>
          <w:p>
            <w:r>
              <w:t>GDPR 6. cikk (1) a) és az elektronikus reklámra irányadó magyar szabályok szerinti előzetes hozzájárulás</w:t>
            </w:r>
          </w:p>
        </w:tc>
        <w:tc>
          <w:tcPr>
            <w:tcW w:type="dxa" w:w="1949"/>
          </w:tcPr>
          <w:p>
            <w:r>
              <w:t>visszavonásig, de rendszeres felülvizsgálattal</w:t>
            </w:r>
          </w:p>
        </w:tc>
        <w:tc>
          <w:tcPr>
            <w:tcW w:type="dxa" w:w="1949"/>
          </w:tcPr>
          <w:p>
            <w:r>
              <w:t>Anfield és kizárólag a marketingfeladathoz szükséges adatfeldolgozók</w:t>
            </w:r>
          </w:p>
        </w:tc>
      </w:tr>
      <w:tr>
        <w:tc>
          <w:tcPr>
            <w:tcW w:type="dxa" w:w="1949"/>
          </w:tcPr>
          <w:p>
            <w:r>
              <w:t>Kampánymérés</w:t>
            </w:r>
          </w:p>
        </w:tc>
        <w:tc>
          <w:tcPr>
            <w:tcW w:type="dxa" w:w="1949"/>
          </w:tcPr>
          <w:p>
            <w:r>
              <w:t>UTM paraméterek, landing, referrer, kampányazonosítók; cookie/azonosító csak a megfelelő consent szerint</w:t>
            </w:r>
          </w:p>
        </w:tc>
        <w:tc>
          <w:tcPr>
            <w:tcW w:type="dxa" w:w="1949"/>
          </w:tcPr>
          <w:p>
            <w:r>
              <w:t>szükséges technológiánál jogos érdek vagy jogszabályi kivétel; analitikai/marketing technológiánál hozzájárulás - konkrét eszközönként véglegesítendő</w:t>
            </w:r>
          </w:p>
        </w:tc>
        <w:tc>
          <w:tcPr>
            <w:tcW w:type="dxa" w:w="1949"/>
          </w:tcPr>
          <w:p>
            <w:r>
              <w:t>cookie- és mérési szabályzat szerint</w:t>
            </w:r>
          </w:p>
        </w:tc>
        <w:tc>
          <w:tcPr>
            <w:tcW w:type="dxa" w:w="1949"/>
          </w:tcPr>
          <w:p>
            <w:r>
              <w:t>tárhely, analitikai/marketing szolgáltatók a végleges technikai stack szerint</w:t>
            </w:r>
          </w:p>
        </w:tc>
      </w:tr>
    </w:tbl>
    <w:p>
      <w:pPr>
        <w:pStyle w:val="Heading1"/>
      </w:pPr>
      <w:r>
        <w:t>4. Kötelező és opcionális hozzájárulások</w:t>
      </w:r>
    </w:p>
    <w:p>
      <w:r>
        <w:t>A kapcsolatfelvételi kérelem és az opcionális későbbi marketing nem vonható össze egyetlen, feltétel nélküli marketinghozzájárulásba. A javasolt felületi logika:</w:t>
      </w:r>
    </w:p>
    <w:p>
      <w:pPr>
        <w:pStyle w:val="ListBullet"/>
      </w:pPr>
      <w:r>
        <w:t>kötelező: az adatkezelési tájékoztató megismerésének igazolása és a kért konzultációhoz szükséges kapcsolatfelvételhez adott hozzájárulás;</w:t>
      </w:r>
    </w:p>
    <w:p>
      <w:pPr>
        <w:pStyle w:val="ListBullet"/>
      </w:pPr>
      <w:r>
        <w:t>opcionális, alapértelmezetten üres checkbox: későbbi reklám-, hírlevél- és egyéb direkt marketing megkeresések;</w:t>
      </w:r>
    </w:p>
    <w:p>
      <w:pPr>
        <w:pStyle w:val="ListBullet"/>
      </w:pPr>
      <w:r>
        <w:t>a hozzájárulás visszavonása ugyanolyan egyszerű legyen, mint a megadása, és ne érintse a visszavonás előtti adatkezelés jogszerűségét.</w:t>
      </w:r>
    </w:p>
    <w:p>
      <w:pPr>
        <w:pStyle w:val="Heading1"/>
      </w:pPr>
      <w:r>
        <w:t>5. Közreműködők és tanácsadók</w:t>
      </w:r>
    </w:p>
    <w:p>
      <w:r>
        <w:t>Az Anfield a leadet kizárólag feladatellátás céljára rendelheti hozzá kijelölt közreműködőhöz. A közreműködő a NEXT leadkezelési szakaszban csak dokumentált utasítás szerint kezelheti az adatot, nem építhet abból saját marketing-adatbázist, nem adhatja tovább és a hozzáférést a jogviszony megszűnésekor vagy az Anfield utasítására meg kell szüntetni. Ha a közreműködő valamely későbbi biztosításközvetítési szakaszban saját vagy más adatkezelő nevében önálló célokat határoz meg, annak adatvédelmi szerepét külön kell rendezni.</w:t>
      </w:r>
    </w:p>
    <w:p>
      <w:pPr>
        <w:pStyle w:val="Heading1"/>
      </w:pPr>
      <w:r>
        <w:t>6. Adatfeldolgozók és adattovábbítás</w:t>
      </w:r>
    </w:p>
    <w:p>
      <w:r>
        <w:t>Az élesítés előtt tételes adatfeldolgozói jegyzéket kell készíteni a tárhely-, e-mail-, CRM-, analitikai, cookie-consent és egyéb szolgáltatókról. EGT-n kívüli adattovábbítás esetén a GDPR V. fejezete szerinti megfelelő garanciát és a tájékoztatást dokumentálni kell.</w:t>
      </w:r>
    </w:p>
    <w:p>
      <w:pPr>
        <w:pStyle w:val="Heading1"/>
      </w:pPr>
      <w:r>
        <w:t>7. Automatizált értékelés és lead scoring</w:t>
      </w:r>
    </w:p>
    <w:p>
      <w:r>
        <w:t>A rendszer pontszámokat vagy kategóriákat képezhet a válaszok alapján a lead prioritásának támogatására. Élesítés előtt dokumentálni kell a logikát, jelentőséget és következményeket. Ha a scoring az érintett számára joghatással vagy hasonlóan jelentős hatással járna, külön GDPR 22. cikk szerinti vizsgálat szükséges. A NAIH közzétett DPIA-listája a szolgáltatás minőségére vagy nyújtására ható scoringot kockázati tényezőként nevesíti; ezért a rendszer élesítése előtt DPIA-szükségességi vizsgálatot kell dokumentálni.</w:t>
      </w:r>
    </w:p>
    <w:p>
      <w:pPr>
        <w:pStyle w:val="Heading1"/>
      </w:pPr>
      <w:r>
        <w:t>8. Adatbiztonság</w:t>
      </w:r>
    </w:p>
    <w:p>
      <w:pPr>
        <w:pStyle w:val="ListBullet"/>
      </w:pPr>
      <w:r>
        <w:t>szerepköralapú hozzáférés és egyedi felhasználói fiókok;</w:t>
      </w:r>
    </w:p>
    <w:p>
      <w:pPr>
        <w:pStyle w:val="ListBullet"/>
      </w:pPr>
      <w:r>
        <w:t>naplózás: megtekintés, kiosztás, státuszváltás, export, törlés;</w:t>
      </w:r>
    </w:p>
    <w:p>
      <w:pPr>
        <w:pStyle w:val="ListBullet"/>
      </w:pPr>
      <w:r>
        <w:t>titkosított adatátvitel (TLS) és megfelelő szerveroldali védelem;</w:t>
      </w:r>
    </w:p>
    <w:p>
      <w:pPr>
        <w:pStyle w:val="ListBullet"/>
      </w:pPr>
      <w:r>
        <w:t>rendszeres mentés és visszaállítási próba;</w:t>
      </w:r>
    </w:p>
    <w:p>
      <w:pPr>
        <w:pStyle w:val="ListBullet"/>
      </w:pPr>
      <w:r>
        <w:t>jelszó- és lehetőség szerint többtényezős hitelesítési szabály;</w:t>
      </w:r>
    </w:p>
    <w:p>
      <w:pPr>
        <w:pStyle w:val="ListBullet"/>
      </w:pPr>
      <w:r>
        <w:t>jogosultság azonnali visszavonása jogviszony megszűnésekor;</w:t>
      </w:r>
    </w:p>
    <w:p>
      <w:pPr>
        <w:pStyle w:val="ListBullet"/>
      </w:pPr>
      <w:r>
        <w:t>adatvédelmi incidens belső jelentési és kivizsgálási folyamat.</w:t>
      </w:r>
    </w:p>
    <w:p>
      <w:pPr>
        <w:pStyle w:val="Heading1"/>
      </w:pPr>
      <w:r>
        <w:t>9. Érintetti jogok</w:t>
      </w:r>
    </w:p>
    <w:p>
      <w:r>
        <w:t>Az érintett kérheti a hozzáférést, helyesbítést, törlést, korlátozást, adott esetben adathordozhatóságot, tiltakozhat a jogos érdeken alapuló kezelés ellen, valamint bármikor visszavonhatja hozzájárulását. Közvetlen üzletszerzés elleni tiltakozás esetén az adat a továbbiakban e célból nem kezelhető.</w:t>
      </w:r>
    </w:p>
    <w:p>
      <w:pPr>
        <w:pStyle w:val="Heading1"/>
      </w:pPr>
      <w:r>
        <w:t>10. Panasz és jogorvoslat</w:t>
      </w:r>
    </w:p>
    <w:p>
      <w:r>
        <w:t>Az érintett az Anfield adatvédelmi elérhetőségén gyakorolhatja jogait, továbbá panasszal fordulhat a Nemzeti Adatvédelmi és Információszabadság Hatósághoz (NAIH), illetve bírósági jogorvoslatot vehet igénybe.</w:t>
      </w:r>
    </w:p>
    <w:p>
      <w:pPr>
        <w:pStyle w:val="Heading1"/>
      </w:pPr>
      <w:r>
        <w:t>11. Incidensek</w:t>
      </w:r>
    </w:p>
    <w:p>
      <w:r>
        <w:t>Az Anfield minden incidenst dokumentál. A GDPR 33. cikke szerinti, kockázattal járó incidens esetén az adatkezelő indokolatlan késedelem nélkül, lehetőség szerint a tudomásszerzéstől számított 72 órán belül értesíti az illetékes felügyeleti hatóságot.</w:t>
      </w:r>
    </w:p>
    <w:p>
      <w:pPr>
        <w:pStyle w:val="Heading1"/>
      </w:pPr>
      <w:r>
        <w:t>12. Verziókezelés</w:t>
      </w:r>
    </w:p>
    <w:p>
      <w:r>
        <w:t>A rendszer minden beküldéshez rögzíti az elfogadott tájékoztató verzióját (ANFIELD-NEXT-2026-01), elfogadási időpontját és a dokumentum stabil azonosítóját/hash-ét. Az ügyfél visszaigazoló e-mailjében az elfogadott verzió elérhető vagy csatolt formában megküldendő.</w:t>
      </w:r>
    </w:p>
    <w:p>
      <w:pPr>
        <w:pStyle w:val="Heading1"/>
      </w:pPr>
      <w:r>
        <w:t>13. Élesítés előtti kötelező kitöltések</w:t>
      </w:r>
    </w:p>
    <w:p>
      <w:pPr>
        <w:pStyle w:val="ListBullet"/>
      </w:pPr>
      <w:r>
        <w:t>Anfield teljes cégadatai és adatvédelmi kapcsolattartás;</w:t>
      </w:r>
    </w:p>
    <w:p>
      <w:pPr>
        <w:pStyle w:val="ListBullet"/>
      </w:pPr>
      <w:r>
        <w:t>végleges adatmegőrzési idők;</w:t>
      </w:r>
    </w:p>
    <w:p>
      <w:pPr>
        <w:pStyle w:val="ListBullet"/>
      </w:pPr>
      <w:r>
        <w:t>adatfeldolgozók és esetleges harmadik országbeli adattovábbítások;</w:t>
      </w:r>
    </w:p>
    <w:p>
      <w:pPr>
        <w:pStyle w:val="ListBullet"/>
      </w:pPr>
      <w:r>
        <w:t>cookie- és mérési technológiák;</w:t>
      </w:r>
    </w:p>
    <w:p>
      <w:pPr>
        <w:pStyle w:val="ListBullet"/>
      </w:pPr>
      <w:r>
        <w:t>DPIA-szükségességi vizsgálat;</w:t>
      </w:r>
    </w:p>
    <w:p>
      <w:pPr>
        <w:pStyle w:val="ListBullet"/>
      </w:pPr>
      <w:r>
        <w:t>biztosításközvetítési szakasz szerepköreinek külön jogi ellenőrzése.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Anfield Consulting Kft. | ANFIELD-NEXT-2026-01 | jogi felülvizsgálatra előkészített tervezet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